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DA9A6" w14:textId="5244D7DD" w:rsidR="00DC28D5" w:rsidRPr="00B27530" w:rsidRDefault="00C23B62" w:rsidP="00CF02AF">
      <w:pPr>
        <w:jc w:val="center"/>
        <w:rPr>
          <w:lang w:val="cy-GB"/>
        </w:rPr>
      </w:pPr>
      <w:bookmarkStart w:id="0" w:name="_GoBack"/>
      <w:bookmarkEnd w:id="0"/>
      <w:r w:rsidRPr="00B27530">
        <w:rPr>
          <w:rFonts w:ascii="Arial" w:hAnsi="Arial" w:cs="Arial"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40EDE57D" wp14:editId="550B5F23">
            <wp:simplePos x="0" y="0"/>
            <wp:positionH relativeFrom="column">
              <wp:posOffset>-85725</wp:posOffset>
            </wp:positionH>
            <wp:positionV relativeFrom="paragraph">
              <wp:posOffset>66675</wp:posOffset>
            </wp:positionV>
            <wp:extent cx="1028700" cy="10287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B5BCD5" w14:textId="02E2CFA6" w:rsidR="00CF02AF" w:rsidRPr="00B27530" w:rsidRDefault="00CF02AF" w:rsidP="00CF02AF">
      <w:pPr>
        <w:jc w:val="center"/>
        <w:rPr>
          <w:lang w:val="cy-GB"/>
        </w:rPr>
      </w:pPr>
    </w:p>
    <w:p w14:paraId="4FD068BD" w14:textId="77777777" w:rsidR="007E57AA" w:rsidRPr="00B27530" w:rsidRDefault="007E57AA" w:rsidP="00FB1FD3">
      <w:pPr>
        <w:pStyle w:val="Subtitle"/>
        <w:rPr>
          <w:b/>
          <w:lang w:val="cy-GB"/>
        </w:rPr>
      </w:pPr>
    </w:p>
    <w:p w14:paraId="387BFC57" w14:textId="77777777" w:rsidR="007E57AA" w:rsidRPr="00B27530" w:rsidRDefault="007E57AA" w:rsidP="00FB1FD3">
      <w:pPr>
        <w:pStyle w:val="Subtitle"/>
        <w:rPr>
          <w:b/>
          <w:lang w:val="cy-GB"/>
        </w:rPr>
      </w:pPr>
    </w:p>
    <w:p w14:paraId="09B9C83A" w14:textId="77777777" w:rsidR="00AB410A" w:rsidRPr="00B27530" w:rsidRDefault="00AB410A" w:rsidP="00FB1FD3">
      <w:pPr>
        <w:pStyle w:val="Subtitle"/>
        <w:rPr>
          <w:b/>
          <w:lang w:val="cy-GB"/>
        </w:rPr>
      </w:pPr>
    </w:p>
    <w:p w14:paraId="1119F6FF" w14:textId="19869656" w:rsidR="00CF02AF" w:rsidRPr="00B27530" w:rsidRDefault="00FB1FD3" w:rsidP="00FB1FD3">
      <w:pPr>
        <w:pStyle w:val="Subtitle"/>
        <w:rPr>
          <w:b/>
          <w:lang w:val="cy-GB"/>
        </w:rPr>
      </w:pPr>
      <w:r w:rsidRPr="00B27530">
        <w:rPr>
          <w:b/>
          <w:lang w:val="cy-GB"/>
        </w:rPr>
        <w:t>Poli</w:t>
      </w:r>
      <w:r w:rsidR="00B27530" w:rsidRPr="00B27530">
        <w:rPr>
          <w:b/>
          <w:lang w:val="cy-GB"/>
        </w:rPr>
        <w:t>si</w:t>
      </w:r>
      <w:r w:rsidRPr="00B27530">
        <w:rPr>
          <w:b/>
          <w:lang w:val="cy-GB"/>
        </w:rPr>
        <w:t xml:space="preserve"> </w:t>
      </w:r>
      <w:r w:rsidR="00FF5D00" w:rsidRPr="00B27530">
        <w:rPr>
          <w:b/>
          <w:lang w:val="cy-GB"/>
        </w:rPr>
        <w:t>–</w:t>
      </w:r>
      <w:r w:rsidRPr="00B27530">
        <w:rPr>
          <w:b/>
          <w:lang w:val="cy-GB"/>
        </w:rPr>
        <w:t xml:space="preserve"> </w:t>
      </w:r>
      <w:r w:rsidR="00B27530" w:rsidRPr="00B27530">
        <w:rPr>
          <w:b/>
          <w:lang w:val="cy-GB"/>
        </w:rPr>
        <w:t xml:space="preserve">Ad-daliadau a Dychweliadau </w:t>
      </w:r>
    </w:p>
    <w:p w14:paraId="2C255049" w14:textId="45EDAC25" w:rsidR="00FB1FD3" w:rsidRPr="00B27530" w:rsidRDefault="00B27530" w:rsidP="00FB1FD3">
      <w:pPr>
        <w:pStyle w:val="Subtitle"/>
        <w:numPr>
          <w:ilvl w:val="0"/>
          <w:numId w:val="0"/>
        </w:numPr>
        <w:rPr>
          <w:lang w:val="cy-GB"/>
        </w:rPr>
      </w:pPr>
      <w:r>
        <w:rPr>
          <w:lang w:val="cy-GB"/>
        </w:rPr>
        <w:t xml:space="preserve">Dyddiad yr Adolygiad Diwethaf </w:t>
      </w:r>
      <w:r w:rsidR="00B5604C" w:rsidRPr="00B27530">
        <w:rPr>
          <w:lang w:val="cy-GB"/>
        </w:rPr>
        <w:t>–</w:t>
      </w:r>
      <w:r>
        <w:rPr>
          <w:lang w:val="cy-GB"/>
        </w:rPr>
        <w:t xml:space="preserve"> Chwefror</w:t>
      </w:r>
      <w:r w:rsidR="00B5604C" w:rsidRPr="00B27530">
        <w:rPr>
          <w:lang w:val="cy-GB"/>
        </w:rPr>
        <w:t xml:space="preserve"> 2019</w:t>
      </w:r>
    </w:p>
    <w:p w14:paraId="2E85BB1D" w14:textId="77777777" w:rsidR="00CF02AF" w:rsidRPr="00B27530" w:rsidRDefault="00CF02AF" w:rsidP="00CF02AF">
      <w:pPr>
        <w:jc w:val="center"/>
        <w:rPr>
          <w:lang w:val="cy-GB"/>
        </w:rPr>
      </w:pPr>
    </w:p>
    <w:p w14:paraId="5B682305" w14:textId="10690A84" w:rsidR="00AC335C" w:rsidRPr="00B27530" w:rsidRDefault="00B27530" w:rsidP="005514D7">
      <w:pPr>
        <w:rPr>
          <w:b/>
          <w:u w:val="single"/>
          <w:lang w:val="cy-GB"/>
        </w:rPr>
      </w:pPr>
      <w:r>
        <w:rPr>
          <w:b/>
          <w:u w:val="single"/>
          <w:lang w:val="cy-GB"/>
        </w:rPr>
        <w:t>Rhagymadrodd y Polisi</w:t>
      </w:r>
    </w:p>
    <w:p w14:paraId="5F2A6B6A" w14:textId="63BE27C9" w:rsidR="00B27530" w:rsidRDefault="00B27530" w:rsidP="00CF02AF">
      <w:pPr>
        <w:rPr>
          <w:lang w:val="cy-GB"/>
        </w:rPr>
      </w:pPr>
      <w:r w:rsidRPr="00B27530">
        <w:rPr>
          <w:lang w:val="cy-GB"/>
        </w:rPr>
        <w:t xml:space="preserve">Mae'r Polisi hwn yn cwmpasu'r weithdrefn </w:t>
      </w:r>
      <w:r>
        <w:rPr>
          <w:lang w:val="cy-GB"/>
        </w:rPr>
        <w:t>i</w:t>
      </w:r>
      <w:r w:rsidRPr="00B27530">
        <w:rPr>
          <w:lang w:val="cy-GB"/>
        </w:rPr>
        <w:t xml:space="preserve"> staff ei ddefnyddio wrth dderbyn </w:t>
      </w:r>
      <w:r>
        <w:rPr>
          <w:lang w:val="cy-GB"/>
        </w:rPr>
        <w:t>dychweliadau</w:t>
      </w:r>
      <w:r w:rsidRPr="00B27530">
        <w:rPr>
          <w:lang w:val="cy-GB"/>
        </w:rPr>
        <w:t xml:space="preserve"> a rhoi ad-daliadau.</w:t>
      </w:r>
    </w:p>
    <w:p w14:paraId="43F7C6F0" w14:textId="68389EA1" w:rsidR="00E81C79" w:rsidRPr="00B27530" w:rsidRDefault="00B27530" w:rsidP="00CF02AF">
      <w:pPr>
        <w:rPr>
          <w:b/>
          <w:u w:val="single"/>
          <w:lang w:val="cy-GB"/>
        </w:rPr>
      </w:pPr>
      <w:r>
        <w:rPr>
          <w:b/>
          <w:u w:val="single"/>
          <w:lang w:val="cy-GB"/>
        </w:rPr>
        <w:t>Polisi’r Undeb</w:t>
      </w:r>
    </w:p>
    <w:p w14:paraId="1397B032" w14:textId="0D89EFF9" w:rsidR="002D0F88" w:rsidRPr="00B27530" w:rsidRDefault="002D0F88" w:rsidP="002D0F88">
      <w:pPr>
        <w:rPr>
          <w:lang w:val="cy-GB"/>
        </w:rPr>
      </w:pPr>
      <w:r w:rsidRPr="00B27530">
        <w:rPr>
          <w:i/>
          <w:lang w:val="cy-GB"/>
        </w:rPr>
        <w:t xml:space="preserve">Staff </w:t>
      </w:r>
      <w:r w:rsidR="00B27530">
        <w:rPr>
          <w:i/>
          <w:lang w:val="cy-GB"/>
        </w:rPr>
        <w:t>o fewn cwmpas y Polisi hwn</w:t>
      </w:r>
    </w:p>
    <w:p w14:paraId="3D4F1AD2" w14:textId="0AB1B2EA" w:rsidR="002D0F88" w:rsidRPr="00B27530" w:rsidRDefault="00B27530" w:rsidP="002D0F88">
      <w:pPr>
        <w:rPr>
          <w:lang w:val="cy-GB"/>
        </w:rPr>
      </w:pPr>
      <w:r>
        <w:rPr>
          <w:lang w:val="cy-GB"/>
        </w:rPr>
        <w:t>Mae pob aelod o staff yr Undeb wedi’u cynnwys yn y polisi hwn ac mae’n ofynnol iddynt gydymffurfio â chyfarwyddebau</w:t>
      </w:r>
      <w:r w:rsidR="002D0F88" w:rsidRPr="00B27530">
        <w:rPr>
          <w:lang w:val="cy-GB"/>
        </w:rPr>
        <w:t xml:space="preserve"> </w:t>
      </w:r>
      <w:r>
        <w:rPr>
          <w:lang w:val="cy-GB"/>
        </w:rPr>
        <w:t>a chanllawiau’r polisi</w:t>
      </w:r>
      <w:r w:rsidR="00FF5D00" w:rsidRPr="00B27530">
        <w:rPr>
          <w:lang w:val="cy-GB"/>
        </w:rPr>
        <w:t xml:space="preserve">. </w:t>
      </w:r>
    </w:p>
    <w:p w14:paraId="6BEB9317" w14:textId="3704531C" w:rsidR="00F813B5" w:rsidRPr="00B27530" w:rsidRDefault="002D0F88" w:rsidP="00CF02AF">
      <w:pPr>
        <w:rPr>
          <w:u w:val="single"/>
          <w:lang w:val="cy-GB"/>
        </w:rPr>
      </w:pPr>
      <w:r w:rsidRPr="00B27530">
        <w:rPr>
          <w:u w:val="single"/>
          <w:lang w:val="cy-GB"/>
        </w:rPr>
        <w:t>Poli</w:t>
      </w:r>
      <w:r w:rsidR="00B27530">
        <w:rPr>
          <w:u w:val="single"/>
          <w:lang w:val="cy-GB"/>
        </w:rPr>
        <w:t>si</w:t>
      </w:r>
      <w:r w:rsidR="00F813B5" w:rsidRPr="00B27530">
        <w:rPr>
          <w:u w:val="single"/>
          <w:lang w:val="cy-GB"/>
        </w:rPr>
        <w:t xml:space="preserve"> </w:t>
      </w:r>
    </w:p>
    <w:p w14:paraId="76918C4D" w14:textId="77777777" w:rsidR="00E8285D" w:rsidRDefault="00B27530" w:rsidP="008D1C6F">
      <w:pPr>
        <w:pStyle w:val="Subtitle"/>
        <w:rPr>
          <w:lang w:val="cy-GB"/>
        </w:rPr>
      </w:pPr>
      <w:r>
        <w:rPr>
          <w:lang w:val="cy-GB"/>
        </w:rPr>
        <w:t xml:space="preserve">Gwerthiannau Masnachol </w:t>
      </w:r>
      <w:r w:rsidR="00C96C71" w:rsidRPr="00B27530">
        <w:rPr>
          <w:lang w:val="cy-GB"/>
        </w:rPr>
        <w:t>(</w:t>
      </w:r>
      <w:r>
        <w:rPr>
          <w:lang w:val="cy-GB"/>
        </w:rPr>
        <w:t>heb gynnwys Tocynnau Digwyddiadau, Tocynnau Diod</w:t>
      </w:r>
      <w:r w:rsidR="00E8285D">
        <w:rPr>
          <w:lang w:val="cy-GB"/>
        </w:rPr>
        <w:t>ydd Digwyddiadau a Gwasanaethau a Theithiau’r Siop Deithio)</w:t>
      </w:r>
    </w:p>
    <w:p w14:paraId="0D2711AB" w14:textId="1B96A198" w:rsidR="00F813B5" w:rsidRPr="00B27530" w:rsidRDefault="00E8285D" w:rsidP="00CF02AF">
      <w:pPr>
        <w:rPr>
          <w:lang w:val="cy-GB"/>
        </w:rPr>
      </w:pPr>
      <w:r w:rsidRPr="00E8285D">
        <w:rPr>
          <w:lang w:val="cy-GB"/>
        </w:rPr>
        <w:t xml:space="preserve">Bydd yr Undeb yn gwneud popeth </w:t>
      </w:r>
      <w:r>
        <w:rPr>
          <w:lang w:val="cy-GB"/>
        </w:rPr>
        <w:t>yn ei gallu</w:t>
      </w:r>
      <w:r w:rsidRPr="00E8285D">
        <w:rPr>
          <w:lang w:val="cy-GB"/>
        </w:rPr>
        <w:t xml:space="preserve"> i sicrhau bod y nwyddau y mae'n eu gwerthu yn berffaith bob tro. Os nad yw hyn yn wir, y</w:t>
      </w:r>
      <w:r>
        <w:rPr>
          <w:lang w:val="cy-GB"/>
        </w:rPr>
        <w:t>na</w:t>
      </w:r>
      <w:r w:rsidRPr="00E8285D">
        <w:rPr>
          <w:lang w:val="cy-GB"/>
        </w:rPr>
        <w:t xml:space="preserve"> bydd yn gwneud popeth </w:t>
      </w:r>
      <w:r>
        <w:rPr>
          <w:lang w:val="cy-GB"/>
        </w:rPr>
        <w:t xml:space="preserve">yn ei gallu </w:t>
      </w:r>
      <w:r w:rsidRPr="00E8285D">
        <w:rPr>
          <w:lang w:val="cy-GB"/>
        </w:rPr>
        <w:t>i'w wneud yn iawn.</w:t>
      </w:r>
      <w:r>
        <w:rPr>
          <w:lang w:val="cy-GB"/>
        </w:rPr>
        <w:t xml:space="preserve"> </w:t>
      </w:r>
    </w:p>
    <w:p w14:paraId="29452BE7" w14:textId="2755EC14" w:rsidR="00E8285D" w:rsidRDefault="00E8285D" w:rsidP="00CF02AF">
      <w:pPr>
        <w:rPr>
          <w:lang w:val="cy-GB"/>
        </w:rPr>
      </w:pPr>
      <w:r w:rsidRPr="00E8285D">
        <w:rPr>
          <w:lang w:val="cy-GB"/>
        </w:rPr>
        <w:t xml:space="preserve">Yn </w:t>
      </w:r>
      <w:r>
        <w:rPr>
          <w:lang w:val="cy-GB"/>
        </w:rPr>
        <w:t>ogystal â</w:t>
      </w:r>
      <w:r w:rsidRPr="00E8285D">
        <w:rPr>
          <w:lang w:val="cy-GB"/>
        </w:rPr>
        <w:t xml:space="preserve"> hawliau cyfreithiol cwsmer, bydd yr Undeb yn </w:t>
      </w:r>
      <w:r>
        <w:rPr>
          <w:lang w:val="cy-GB"/>
        </w:rPr>
        <w:t>newid</w:t>
      </w:r>
      <w:r w:rsidRPr="00E8285D">
        <w:rPr>
          <w:lang w:val="cy-GB"/>
        </w:rPr>
        <w:t xml:space="preserve"> neu ad-dalu eitem nad yw'n </w:t>
      </w:r>
      <w:r w:rsidR="00F26CFB">
        <w:rPr>
          <w:lang w:val="cy-GB"/>
        </w:rPr>
        <w:t xml:space="preserve">ymddangos fel mae’n </w:t>
      </w:r>
      <w:r w:rsidRPr="00E8285D">
        <w:rPr>
          <w:lang w:val="cy-GB"/>
        </w:rPr>
        <w:t>cael ei ddisgrifio</w:t>
      </w:r>
      <w:r>
        <w:rPr>
          <w:lang w:val="cy-GB"/>
        </w:rPr>
        <w:t>, neu eitem</w:t>
      </w:r>
      <w:r w:rsidRPr="00E8285D">
        <w:rPr>
          <w:lang w:val="cy-GB"/>
        </w:rPr>
        <w:t xml:space="preserve"> ddiffygiol (ar gyfer nwyddau anghyfreithlon</w:t>
      </w:r>
      <w:r>
        <w:rPr>
          <w:lang w:val="cy-GB"/>
        </w:rPr>
        <w:t>,</w:t>
      </w:r>
      <w:r w:rsidRPr="00E8285D">
        <w:rPr>
          <w:lang w:val="cy-GB"/>
        </w:rPr>
        <w:t xml:space="preserve"> mae hyn o fewn </w:t>
      </w:r>
      <w:r>
        <w:rPr>
          <w:lang w:val="cy-GB"/>
        </w:rPr>
        <w:t>y d</w:t>
      </w:r>
      <w:r w:rsidRPr="00E8285D">
        <w:rPr>
          <w:lang w:val="cy-GB"/>
        </w:rPr>
        <w:t>yddiad</w:t>
      </w:r>
      <w:r>
        <w:rPr>
          <w:lang w:val="cy-GB"/>
        </w:rPr>
        <w:t xml:space="preserve"> defnyddio</w:t>
      </w:r>
      <w:r w:rsidRPr="00E8285D">
        <w:rPr>
          <w:lang w:val="cy-GB"/>
        </w:rPr>
        <w:t>) os caiff ei ddychwelyd o fewn 100 diwrnod o</w:t>
      </w:r>
      <w:r>
        <w:rPr>
          <w:lang w:val="cy-GB"/>
        </w:rPr>
        <w:t>’i</w:t>
      </w:r>
      <w:r w:rsidRPr="00E8285D">
        <w:rPr>
          <w:lang w:val="cy-GB"/>
        </w:rPr>
        <w:t xml:space="preserve"> </w:t>
      </w:r>
      <w:r>
        <w:rPr>
          <w:lang w:val="cy-GB"/>
        </w:rPr>
        <w:t>brynu</w:t>
      </w:r>
      <w:r w:rsidRPr="00E8285D">
        <w:rPr>
          <w:lang w:val="cy-GB"/>
        </w:rPr>
        <w:t>.</w:t>
      </w:r>
    </w:p>
    <w:p w14:paraId="3E0E3E00" w14:textId="77777777" w:rsidR="00E8285D" w:rsidRDefault="00E8285D" w:rsidP="00CF02AF">
      <w:pPr>
        <w:rPr>
          <w:lang w:val="cy-GB"/>
        </w:rPr>
      </w:pPr>
      <w:r>
        <w:rPr>
          <w:lang w:val="cy-GB"/>
        </w:rPr>
        <w:t>Os yw cwsmer yn newid ei feddwl am bryniant, bydd yr Undeb yn cynnig newid neu ad-daliad llawn o fewn 14 diwrnod, cyn belled â bod yr eitem(au) yn cael ei ddychwelyd heb ei ddefnyddio, gyda phrawf prynu ac yn ei becyn gwreiddiol.</w:t>
      </w:r>
    </w:p>
    <w:p w14:paraId="3D290C21" w14:textId="2A48A8E2" w:rsidR="00E8285D" w:rsidRDefault="00E8285D" w:rsidP="00CF02AF">
      <w:pPr>
        <w:rPr>
          <w:lang w:val="cy-GB"/>
        </w:rPr>
      </w:pPr>
      <w:r>
        <w:rPr>
          <w:lang w:val="cy-GB"/>
        </w:rPr>
        <w:t>Diffi</w:t>
      </w:r>
      <w:r w:rsidR="002B63E5">
        <w:rPr>
          <w:lang w:val="cy-GB"/>
        </w:rPr>
        <w:t>n</w:t>
      </w:r>
      <w:r>
        <w:rPr>
          <w:lang w:val="cy-GB"/>
        </w:rPr>
        <w:t>nir prawf prynu yn:</w:t>
      </w:r>
    </w:p>
    <w:p w14:paraId="1D37BC3D" w14:textId="4083A62A" w:rsidR="002B63E5" w:rsidRDefault="002B63E5" w:rsidP="00AE54CD">
      <w:pPr>
        <w:pStyle w:val="ListParagraph"/>
        <w:numPr>
          <w:ilvl w:val="0"/>
          <w:numId w:val="20"/>
        </w:numPr>
        <w:rPr>
          <w:lang w:val="cy-GB"/>
        </w:rPr>
      </w:pPr>
      <w:r>
        <w:rPr>
          <w:lang w:val="cy-GB"/>
        </w:rPr>
        <w:t>Derbynneb til dilys sy’n disgrifio’r eitem, gweithrediad, cost a dyddiad prynu</w:t>
      </w:r>
    </w:p>
    <w:p w14:paraId="05663E64" w14:textId="77777777" w:rsidR="002B63E5" w:rsidRDefault="002B63E5" w:rsidP="00F04009">
      <w:pPr>
        <w:pStyle w:val="ListParagraph"/>
        <w:numPr>
          <w:ilvl w:val="0"/>
          <w:numId w:val="20"/>
        </w:numPr>
        <w:rPr>
          <w:lang w:val="cy-GB"/>
        </w:rPr>
      </w:pPr>
      <w:r>
        <w:rPr>
          <w:lang w:val="cy-GB"/>
        </w:rPr>
        <w:t>Datganiad banc, adeiladu neu gerdyn credyd</w:t>
      </w:r>
    </w:p>
    <w:p w14:paraId="20ED71F7" w14:textId="63C35217" w:rsidR="00F04009" w:rsidRPr="00B27530" w:rsidRDefault="00B27530" w:rsidP="00F04009">
      <w:pPr>
        <w:pStyle w:val="Subtitle"/>
        <w:rPr>
          <w:lang w:val="cy-GB"/>
        </w:rPr>
      </w:pPr>
      <w:r>
        <w:rPr>
          <w:lang w:val="cy-GB"/>
        </w:rPr>
        <w:t>Gwerthiannau Tocynnau Digwyddiadau</w:t>
      </w:r>
    </w:p>
    <w:p w14:paraId="7CC25862" w14:textId="5EEB7391" w:rsidR="002B63E5" w:rsidRDefault="002B63E5" w:rsidP="00F04009">
      <w:pPr>
        <w:pStyle w:val="Subtitle"/>
        <w:rPr>
          <w:rFonts w:eastAsiaTheme="minorHAnsi"/>
          <w:color w:val="auto"/>
          <w:spacing w:val="0"/>
          <w:lang w:val="cy-GB"/>
        </w:rPr>
      </w:pPr>
      <w:r w:rsidRPr="002B63E5">
        <w:rPr>
          <w:rFonts w:eastAsiaTheme="minorHAnsi"/>
          <w:color w:val="auto"/>
          <w:spacing w:val="0"/>
          <w:lang w:val="cy-GB"/>
        </w:rPr>
        <w:t>Bydd yr Undeb yn ad-dalu pris prynu tocyn digwyddiad a brynwyd o'r Undeb neu drwy un o'i asiantau, ar gyfer digwyddiad sydd wedyn yn cael ei ganslo, ei ail-drefnu neu newid</w:t>
      </w:r>
      <w:r>
        <w:rPr>
          <w:rFonts w:eastAsiaTheme="minorHAnsi"/>
          <w:color w:val="auto"/>
          <w:spacing w:val="0"/>
          <w:lang w:val="cy-GB"/>
        </w:rPr>
        <w:t xml:space="preserve"> mewn lleoliad.</w:t>
      </w:r>
    </w:p>
    <w:p w14:paraId="56E90BBB" w14:textId="73DCE822" w:rsidR="00F04009" w:rsidRPr="00B27530" w:rsidRDefault="00B27530" w:rsidP="00F04009">
      <w:pPr>
        <w:pStyle w:val="Subtitle"/>
        <w:rPr>
          <w:lang w:val="cy-GB"/>
        </w:rPr>
      </w:pPr>
      <w:r>
        <w:rPr>
          <w:lang w:val="cy-GB"/>
        </w:rPr>
        <w:t>Gwerthiannau Tocynnau Diod Digwyddiadau</w:t>
      </w:r>
    </w:p>
    <w:p w14:paraId="3592C42F" w14:textId="1EE5F7BD" w:rsidR="002B63E5" w:rsidRDefault="002B63E5" w:rsidP="00273219">
      <w:pPr>
        <w:rPr>
          <w:lang w:val="cy-GB"/>
        </w:rPr>
      </w:pPr>
      <w:r w:rsidRPr="002B63E5">
        <w:rPr>
          <w:lang w:val="cy-GB"/>
        </w:rPr>
        <w:t xml:space="preserve">Gall yr Undeb gynnig tocynnau diod yn ei ddigwyddiadau i gymryd lle trafodion arian parod </w:t>
      </w:r>
      <w:r>
        <w:rPr>
          <w:lang w:val="cy-GB"/>
        </w:rPr>
        <w:t>wrth</w:t>
      </w:r>
      <w:r w:rsidRPr="002B63E5">
        <w:rPr>
          <w:lang w:val="cy-GB"/>
        </w:rPr>
        <w:t xml:space="preserve"> y bar.</w:t>
      </w:r>
    </w:p>
    <w:p w14:paraId="5BAF1435" w14:textId="77777777" w:rsidR="002B63E5" w:rsidRPr="002B63E5" w:rsidRDefault="002B63E5" w:rsidP="002B63E5">
      <w:pPr>
        <w:pStyle w:val="Subtitle"/>
        <w:rPr>
          <w:rFonts w:eastAsiaTheme="minorHAnsi"/>
          <w:color w:val="auto"/>
          <w:spacing w:val="0"/>
          <w:lang w:val="cy-GB"/>
        </w:rPr>
      </w:pPr>
      <w:r w:rsidRPr="002B63E5">
        <w:rPr>
          <w:rFonts w:eastAsiaTheme="minorHAnsi"/>
          <w:color w:val="auto"/>
          <w:spacing w:val="0"/>
          <w:lang w:val="cy-GB"/>
        </w:rPr>
        <w:lastRenderedPageBreak/>
        <w:t>Yn yr achosion hyn, rhaid dangos telerau ac amodau gwerthu yn glir ar adeg prynu.</w:t>
      </w:r>
    </w:p>
    <w:p w14:paraId="71C2F96A" w14:textId="6C197CE8" w:rsidR="002B63E5" w:rsidRDefault="002B63E5" w:rsidP="002B63E5">
      <w:pPr>
        <w:pStyle w:val="Subtitle"/>
        <w:rPr>
          <w:rFonts w:eastAsiaTheme="minorHAnsi"/>
          <w:color w:val="auto"/>
          <w:spacing w:val="0"/>
          <w:lang w:val="cy-GB"/>
        </w:rPr>
      </w:pPr>
      <w:r w:rsidRPr="002B63E5">
        <w:rPr>
          <w:rFonts w:eastAsiaTheme="minorHAnsi"/>
          <w:color w:val="auto"/>
          <w:spacing w:val="0"/>
          <w:lang w:val="cy-GB"/>
        </w:rPr>
        <w:t>Ni ellir ad-dalu</w:t>
      </w:r>
      <w:r>
        <w:rPr>
          <w:rFonts w:eastAsiaTheme="minorHAnsi"/>
          <w:color w:val="auto"/>
          <w:spacing w:val="0"/>
          <w:lang w:val="cy-GB"/>
        </w:rPr>
        <w:t xml:space="preserve"> unrhyw docynnau </w:t>
      </w:r>
      <w:r w:rsidRPr="002B63E5">
        <w:rPr>
          <w:rFonts w:eastAsiaTheme="minorHAnsi"/>
          <w:color w:val="auto"/>
          <w:spacing w:val="0"/>
          <w:lang w:val="cy-GB"/>
        </w:rPr>
        <w:t>diod a brynwyd ar gyfer digwyddiadau oni bai eu hysbysebir.</w:t>
      </w:r>
    </w:p>
    <w:p w14:paraId="09AED121" w14:textId="34FD3ABB" w:rsidR="009434D6" w:rsidRPr="00B27530" w:rsidRDefault="00B27530" w:rsidP="002B63E5">
      <w:pPr>
        <w:pStyle w:val="Subtitle"/>
        <w:rPr>
          <w:lang w:val="cy-GB"/>
        </w:rPr>
      </w:pPr>
      <w:r>
        <w:rPr>
          <w:lang w:val="cy-GB"/>
        </w:rPr>
        <w:t>Gwasanaethau’r Siop Deithio</w:t>
      </w:r>
    </w:p>
    <w:p w14:paraId="3DF5FF5D" w14:textId="77777777" w:rsidR="002B63E5" w:rsidRDefault="002B63E5" w:rsidP="002B63E5">
      <w:pPr>
        <w:rPr>
          <w:lang w:val="cy-GB"/>
        </w:rPr>
      </w:pPr>
      <w:r w:rsidRPr="002B63E5">
        <w:rPr>
          <w:lang w:val="cy-GB"/>
        </w:rPr>
        <w:t xml:space="preserve">Bydd yr Undeb yn ad-dalu pris prynu unrhyw docyn trefnu diwrnod neu benwythnos a drefnwyd gan yr Undeb a brynwyd ar gyfer taith sydd wedyn yn cael ei ganslo, ei ail-drefnu neu </w:t>
      </w:r>
      <w:r>
        <w:rPr>
          <w:lang w:val="cy-GB"/>
        </w:rPr>
        <w:t>newid mewn lleoliad.</w:t>
      </w:r>
    </w:p>
    <w:p w14:paraId="510D4409" w14:textId="723A74F3" w:rsidR="002B63E5" w:rsidRPr="002B63E5" w:rsidRDefault="002B63E5" w:rsidP="002B63E5">
      <w:pPr>
        <w:rPr>
          <w:lang w:val="cy-GB"/>
        </w:rPr>
      </w:pPr>
      <w:r w:rsidRPr="002B63E5">
        <w:rPr>
          <w:lang w:val="cy-GB"/>
        </w:rPr>
        <w:t xml:space="preserve">Mae ad-daliadau neu ffurflenni ar gyfer unrhyw wasanaeth arall a werthir gan y Siop </w:t>
      </w:r>
      <w:r>
        <w:rPr>
          <w:lang w:val="cy-GB"/>
        </w:rPr>
        <w:t>D</w:t>
      </w:r>
      <w:r w:rsidRPr="002B63E5">
        <w:rPr>
          <w:lang w:val="cy-GB"/>
        </w:rPr>
        <w:t xml:space="preserve">eithio yn cael eu gwneud yn </w:t>
      </w:r>
      <w:r>
        <w:rPr>
          <w:lang w:val="cy-GB"/>
        </w:rPr>
        <w:t>unol â</w:t>
      </w:r>
      <w:r w:rsidRPr="002B63E5">
        <w:rPr>
          <w:lang w:val="cy-GB"/>
        </w:rPr>
        <w:t xml:space="preserve">, ac os ydynt ar gael, </w:t>
      </w:r>
      <w:r>
        <w:rPr>
          <w:lang w:val="cy-GB"/>
        </w:rPr>
        <w:t>b</w:t>
      </w:r>
      <w:r w:rsidRPr="002B63E5">
        <w:rPr>
          <w:lang w:val="cy-GB"/>
        </w:rPr>
        <w:t>olisi ad-dalu a dychwelyd asiantau gwasanaeth eu hunain ac efallai y byddant yn codi t</w:t>
      </w:r>
      <w:r>
        <w:rPr>
          <w:lang w:val="cy-GB"/>
        </w:rPr>
        <w:t>â</w:t>
      </w:r>
      <w:r w:rsidRPr="002B63E5">
        <w:rPr>
          <w:lang w:val="cy-GB"/>
        </w:rPr>
        <w:t>l gweinyddol.</w:t>
      </w:r>
    </w:p>
    <w:p w14:paraId="1D26B026" w14:textId="342A0416" w:rsidR="00965707" w:rsidRPr="00B27530" w:rsidRDefault="002B63E5" w:rsidP="00FB0412">
      <w:pPr>
        <w:rPr>
          <w:lang w:val="cy-GB"/>
        </w:rPr>
      </w:pPr>
      <w:r w:rsidRPr="002B63E5">
        <w:rPr>
          <w:lang w:val="cy-GB"/>
        </w:rPr>
        <w:t xml:space="preserve">Mae Polisi'r Undeb ar gostau canslo am ei deithiau a theithiau </w:t>
      </w:r>
      <w:r>
        <w:rPr>
          <w:lang w:val="cy-GB"/>
        </w:rPr>
        <w:t>a drefnwyd</w:t>
      </w:r>
      <w:r w:rsidRPr="002B63E5">
        <w:rPr>
          <w:lang w:val="cy-GB"/>
        </w:rPr>
        <w:t xml:space="preserve"> ei hun fel a ganlyn: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65707" w:rsidRPr="00B27530" w14:paraId="7F91D63D" w14:textId="77777777" w:rsidTr="00B5604C">
        <w:tc>
          <w:tcPr>
            <w:tcW w:w="4508" w:type="dxa"/>
            <w:shd w:val="clear" w:color="auto" w:fill="D9D9D9" w:themeFill="background1" w:themeFillShade="D9"/>
          </w:tcPr>
          <w:p w14:paraId="407B5AED" w14:textId="270FC42E" w:rsidR="00965707" w:rsidRPr="00B27530" w:rsidRDefault="002B63E5" w:rsidP="00FB0412">
            <w:pPr>
              <w:rPr>
                <w:lang w:val="cy-GB"/>
              </w:rPr>
            </w:pPr>
            <w:r>
              <w:rPr>
                <w:lang w:val="cy-GB"/>
              </w:rPr>
              <w:t>Canslo Cyn Dyddiad Gadael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575C00A6" w14:textId="1572F764" w:rsidR="00965707" w:rsidRPr="00B27530" w:rsidRDefault="002B63E5" w:rsidP="00FB0412">
            <w:pPr>
              <w:rPr>
                <w:lang w:val="cy-GB"/>
              </w:rPr>
            </w:pPr>
            <w:r>
              <w:rPr>
                <w:lang w:val="cy-GB"/>
              </w:rPr>
              <w:t>Ffi Canslo</w:t>
            </w:r>
          </w:p>
        </w:tc>
      </w:tr>
      <w:tr w:rsidR="00965707" w:rsidRPr="00B27530" w14:paraId="2ABE223C" w14:textId="77777777" w:rsidTr="00965707">
        <w:tc>
          <w:tcPr>
            <w:tcW w:w="4508" w:type="dxa"/>
          </w:tcPr>
          <w:p w14:paraId="18D4DE9E" w14:textId="15D3F1F4" w:rsidR="00965707" w:rsidRPr="00B27530" w:rsidRDefault="00965707" w:rsidP="00FB0412">
            <w:pPr>
              <w:rPr>
                <w:lang w:val="cy-GB"/>
              </w:rPr>
            </w:pPr>
            <w:r w:rsidRPr="00B27530">
              <w:rPr>
                <w:lang w:val="cy-GB"/>
              </w:rPr>
              <w:t xml:space="preserve">90 </w:t>
            </w:r>
            <w:r w:rsidR="002B63E5">
              <w:rPr>
                <w:lang w:val="cy-GB"/>
              </w:rPr>
              <w:t>diwrnod</w:t>
            </w:r>
          </w:p>
        </w:tc>
        <w:tc>
          <w:tcPr>
            <w:tcW w:w="4508" w:type="dxa"/>
          </w:tcPr>
          <w:p w14:paraId="396D2200" w14:textId="52FF2691" w:rsidR="00965707" w:rsidRPr="00B27530" w:rsidRDefault="002B63E5" w:rsidP="00FB0412">
            <w:pPr>
              <w:rPr>
                <w:lang w:val="cy-GB"/>
              </w:rPr>
            </w:pPr>
            <w:r>
              <w:rPr>
                <w:lang w:val="cy-GB"/>
              </w:rPr>
              <w:t>Colled blaendal</w:t>
            </w:r>
          </w:p>
        </w:tc>
      </w:tr>
      <w:tr w:rsidR="00965707" w:rsidRPr="00B27530" w14:paraId="0B8B9727" w14:textId="77777777" w:rsidTr="00965707">
        <w:tc>
          <w:tcPr>
            <w:tcW w:w="4508" w:type="dxa"/>
          </w:tcPr>
          <w:p w14:paraId="5B340F2B" w14:textId="2AFBA9E4" w:rsidR="00965707" w:rsidRPr="00B27530" w:rsidRDefault="00965707" w:rsidP="00FB0412">
            <w:pPr>
              <w:rPr>
                <w:lang w:val="cy-GB"/>
              </w:rPr>
            </w:pPr>
            <w:r w:rsidRPr="00B27530">
              <w:rPr>
                <w:lang w:val="cy-GB"/>
              </w:rPr>
              <w:t xml:space="preserve">60 </w:t>
            </w:r>
            <w:r w:rsidR="002B63E5">
              <w:rPr>
                <w:lang w:val="cy-GB"/>
              </w:rPr>
              <w:t>diwrnod</w:t>
            </w:r>
          </w:p>
        </w:tc>
        <w:tc>
          <w:tcPr>
            <w:tcW w:w="4508" w:type="dxa"/>
          </w:tcPr>
          <w:p w14:paraId="7736C760" w14:textId="2187AC4F" w:rsidR="00965707" w:rsidRPr="00B27530" w:rsidRDefault="002B63E5" w:rsidP="00FB0412">
            <w:pPr>
              <w:rPr>
                <w:lang w:val="cy-GB"/>
              </w:rPr>
            </w:pPr>
            <w:r>
              <w:rPr>
                <w:lang w:val="cy-GB"/>
              </w:rPr>
              <w:t xml:space="preserve">Colled o </w:t>
            </w:r>
            <w:r w:rsidR="00965707" w:rsidRPr="00B27530">
              <w:rPr>
                <w:lang w:val="cy-GB"/>
              </w:rPr>
              <w:t xml:space="preserve">50% </w:t>
            </w:r>
            <w:r>
              <w:rPr>
                <w:lang w:val="cy-GB"/>
              </w:rPr>
              <w:t>o’r gost</w:t>
            </w:r>
          </w:p>
        </w:tc>
      </w:tr>
      <w:tr w:rsidR="002B63E5" w:rsidRPr="00B27530" w14:paraId="73580848" w14:textId="77777777" w:rsidTr="00965707">
        <w:tc>
          <w:tcPr>
            <w:tcW w:w="4508" w:type="dxa"/>
          </w:tcPr>
          <w:p w14:paraId="6F86FB31" w14:textId="1F41027D" w:rsidR="002B63E5" w:rsidRPr="00B27530" w:rsidRDefault="002B63E5" w:rsidP="002B63E5">
            <w:pPr>
              <w:rPr>
                <w:lang w:val="cy-GB"/>
              </w:rPr>
            </w:pPr>
            <w:r w:rsidRPr="00B27530">
              <w:rPr>
                <w:lang w:val="cy-GB"/>
              </w:rPr>
              <w:t xml:space="preserve">30 </w:t>
            </w:r>
            <w:r>
              <w:rPr>
                <w:lang w:val="cy-GB"/>
              </w:rPr>
              <w:t>diwrnod</w:t>
            </w:r>
          </w:p>
        </w:tc>
        <w:tc>
          <w:tcPr>
            <w:tcW w:w="4508" w:type="dxa"/>
          </w:tcPr>
          <w:p w14:paraId="285F8402" w14:textId="6E28E266" w:rsidR="002B63E5" w:rsidRPr="00B27530" w:rsidRDefault="002B63E5" w:rsidP="002B63E5">
            <w:pPr>
              <w:rPr>
                <w:lang w:val="cy-GB"/>
              </w:rPr>
            </w:pPr>
            <w:r>
              <w:rPr>
                <w:lang w:val="cy-GB"/>
              </w:rPr>
              <w:t>Colled o 7</w:t>
            </w:r>
            <w:r w:rsidRPr="00B27530">
              <w:rPr>
                <w:lang w:val="cy-GB"/>
              </w:rPr>
              <w:t xml:space="preserve">0% </w:t>
            </w:r>
            <w:r>
              <w:rPr>
                <w:lang w:val="cy-GB"/>
              </w:rPr>
              <w:t>o’r gost</w:t>
            </w:r>
          </w:p>
        </w:tc>
      </w:tr>
      <w:tr w:rsidR="002B63E5" w:rsidRPr="00B27530" w14:paraId="428A30C5" w14:textId="77777777" w:rsidTr="00965707">
        <w:tc>
          <w:tcPr>
            <w:tcW w:w="4508" w:type="dxa"/>
          </w:tcPr>
          <w:p w14:paraId="6F5DD3A8" w14:textId="17295688" w:rsidR="002B63E5" w:rsidRPr="00B27530" w:rsidRDefault="002B63E5" w:rsidP="002B63E5">
            <w:pPr>
              <w:rPr>
                <w:lang w:val="cy-GB"/>
              </w:rPr>
            </w:pPr>
            <w:r w:rsidRPr="00B27530">
              <w:rPr>
                <w:lang w:val="cy-GB"/>
              </w:rPr>
              <w:t xml:space="preserve">10 </w:t>
            </w:r>
            <w:r>
              <w:rPr>
                <w:lang w:val="cy-GB"/>
              </w:rPr>
              <w:t>diwrnod</w:t>
            </w:r>
            <w:r w:rsidRPr="00B27530">
              <w:rPr>
                <w:lang w:val="cy-GB"/>
              </w:rPr>
              <w:t xml:space="preserve"> </w:t>
            </w:r>
          </w:p>
        </w:tc>
        <w:tc>
          <w:tcPr>
            <w:tcW w:w="4508" w:type="dxa"/>
          </w:tcPr>
          <w:p w14:paraId="7D8DC34C" w14:textId="6F18CFE6" w:rsidR="002B63E5" w:rsidRPr="00B27530" w:rsidRDefault="002B63E5" w:rsidP="002B63E5">
            <w:pPr>
              <w:rPr>
                <w:lang w:val="cy-GB"/>
              </w:rPr>
            </w:pPr>
            <w:r>
              <w:rPr>
                <w:lang w:val="cy-GB"/>
              </w:rPr>
              <w:t>Colled o 10</w:t>
            </w:r>
            <w:r w:rsidRPr="00B27530">
              <w:rPr>
                <w:lang w:val="cy-GB"/>
              </w:rPr>
              <w:t xml:space="preserve">0% </w:t>
            </w:r>
            <w:r>
              <w:rPr>
                <w:lang w:val="cy-GB"/>
              </w:rPr>
              <w:t>o’r gost</w:t>
            </w:r>
          </w:p>
        </w:tc>
      </w:tr>
    </w:tbl>
    <w:p w14:paraId="7E31C6B9" w14:textId="4F842296" w:rsidR="00965707" w:rsidRPr="00B27530" w:rsidRDefault="00965707" w:rsidP="00FB0412">
      <w:pPr>
        <w:rPr>
          <w:lang w:val="cy-GB"/>
        </w:rPr>
      </w:pPr>
    </w:p>
    <w:p w14:paraId="15D2B6F9" w14:textId="274E88E3" w:rsidR="00BF4B31" w:rsidRPr="00B27530" w:rsidRDefault="00B27530" w:rsidP="00BF4B31">
      <w:pPr>
        <w:pStyle w:val="Subtitle"/>
        <w:rPr>
          <w:lang w:val="cy-GB"/>
        </w:rPr>
      </w:pPr>
      <w:r>
        <w:rPr>
          <w:lang w:val="cy-GB"/>
        </w:rPr>
        <w:t>Gwasanaethau’r Feithrinfa</w:t>
      </w:r>
    </w:p>
    <w:p w14:paraId="0B49669A" w14:textId="1E09DD01" w:rsidR="002B63E5" w:rsidRDefault="002B63E5" w:rsidP="0050796D">
      <w:pPr>
        <w:pStyle w:val="Subtitle"/>
        <w:rPr>
          <w:rFonts w:eastAsiaTheme="minorHAnsi"/>
          <w:color w:val="auto"/>
          <w:spacing w:val="0"/>
          <w:lang w:val="cy-GB"/>
        </w:rPr>
      </w:pPr>
      <w:r w:rsidRPr="002B63E5">
        <w:rPr>
          <w:rFonts w:eastAsiaTheme="minorHAnsi"/>
          <w:color w:val="auto"/>
          <w:spacing w:val="0"/>
          <w:lang w:val="cy-GB"/>
        </w:rPr>
        <w:t xml:space="preserve">Bydd gan y Feithrinfa ei </w:t>
      </w:r>
      <w:r>
        <w:rPr>
          <w:rFonts w:eastAsiaTheme="minorHAnsi"/>
          <w:color w:val="auto"/>
          <w:spacing w:val="0"/>
          <w:lang w:val="cy-GB"/>
        </w:rPr>
        <w:t>ph</w:t>
      </w:r>
      <w:r w:rsidRPr="002B63E5">
        <w:rPr>
          <w:rFonts w:eastAsiaTheme="minorHAnsi"/>
          <w:color w:val="auto"/>
          <w:spacing w:val="0"/>
          <w:lang w:val="cy-GB"/>
        </w:rPr>
        <w:t>olisi ad-daliad ei hun yn unol â'r Cytundeb Gofal Plant Rhiant/Undeb cyfredol.</w:t>
      </w:r>
    </w:p>
    <w:p w14:paraId="37411AF2" w14:textId="08C1BBAC" w:rsidR="00273219" w:rsidRPr="00B27530" w:rsidRDefault="00B27530" w:rsidP="0050796D">
      <w:pPr>
        <w:pStyle w:val="Subtitle"/>
        <w:rPr>
          <w:lang w:val="cy-GB"/>
        </w:rPr>
      </w:pPr>
      <w:r>
        <w:rPr>
          <w:lang w:val="cy-GB"/>
        </w:rPr>
        <w:t>Cyfathrebu’r Polisi</w:t>
      </w:r>
    </w:p>
    <w:p w14:paraId="3D4DA309" w14:textId="2307815A" w:rsidR="00273219" w:rsidRPr="00B27530" w:rsidRDefault="002B63E5" w:rsidP="00273219">
      <w:pPr>
        <w:rPr>
          <w:lang w:val="cy-GB"/>
        </w:rPr>
      </w:pPr>
      <w:r w:rsidRPr="002B63E5">
        <w:rPr>
          <w:lang w:val="cy-GB"/>
        </w:rPr>
        <w:t xml:space="preserve">Ym mhob canolfan adwerthu, gan gynnwys ar-lein, bydd yr Undeb </w:t>
      </w:r>
      <w:r>
        <w:rPr>
          <w:lang w:val="cy-GB"/>
        </w:rPr>
        <w:t>yn</w:t>
      </w:r>
      <w:r w:rsidRPr="002B63E5">
        <w:rPr>
          <w:lang w:val="cy-GB"/>
        </w:rPr>
        <w:t xml:space="preserve"> dangos y canlynol: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</w:tblGrid>
      <w:tr w:rsidR="00273219" w:rsidRPr="00B27530" w14:paraId="184B203F" w14:textId="77777777" w:rsidTr="0050796D">
        <w:tc>
          <w:tcPr>
            <w:tcW w:w="8500" w:type="dxa"/>
          </w:tcPr>
          <w:p w14:paraId="75E62AF0" w14:textId="77777777" w:rsidR="00273219" w:rsidRPr="00B27530" w:rsidRDefault="00273219" w:rsidP="00273219">
            <w:pPr>
              <w:rPr>
                <w:lang w:val="cy-GB"/>
              </w:rPr>
            </w:pPr>
          </w:p>
          <w:p w14:paraId="627E0C6C" w14:textId="38846FF8" w:rsidR="00346A7B" w:rsidRPr="00B27530" w:rsidRDefault="00346A7B" w:rsidP="006F5B0C">
            <w:pPr>
              <w:rPr>
                <w:rStyle w:val="Strong"/>
                <w:b w:val="0"/>
                <w:bCs w:val="0"/>
                <w:lang w:val="cy-GB"/>
              </w:rPr>
            </w:pPr>
            <w:r w:rsidRPr="00B27530">
              <w:rPr>
                <w:noProof/>
                <w:lang w:eastAsia="en-GB"/>
              </w:rPr>
              <w:drawing>
                <wp:inline distT="0" distB="0" distL="0" distR="0" wp14:anchorId="029D315F" wp14:editId="4FE04886">
                  <wp:extent cx="606829" cy="606829"/>
                  <wp:effectExtent l="0" t="0" r="3175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829" cy="606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69C308" w14:textId="62EDFB07" w:rsidR="00495165" w:rsidRPr="00B27530" w:rsidRDefault="00B27530" w:rsidP="006F5B0C">
            <w:pPr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t>Ad-daliadau a Dychweliadau</w:t>
            </w:r>
          </w:p>
          <w:p w14:paraId="67FAD332" w14:textId="77777777" w:rsidR="00134491" w:rsidRPr="00B27530" w:rsidRDefault="00134491" w:rsidP="006F5B0C">
            <w:pPr>
              <w:rPr>
                <w:b/>
                <w:bCs/>
                <w:lang w:val="cy-GB"/>
              </w:rPr>
            </w:pPr>
          </w:p>
          <w:p w14:paraId="28EE7AAE" w14:textId="5AAC08D0" w:rsidR="00F26CFB" w:rsidRPr="00F26CFB" w:rsidRDefault="00F26CFB" w:rsidP="00F26CFB">
            <w:pPr>
              <w:rPr>
                <w:lang w:val="cy-GB"/>
              </w:rPr>
            </w:pPr>
            <w:r w:rsidRPr="00F26CFB">
              <w:rPr>
                <w:lang w:val="cy-GB"/>
              </w:rPr>
              <w:t xml:space="preserve">Pan fyddwch yn prynu nwyddau oddi wrthym, yn y gyfraith mae gennych sawl hawl fel defnyddiwr. Mae'r rhain yn cynnwys yr hawl i </w:t>
            </w:r>
            <w:r>
              <w:rPr>
                <w:lang w:val="cy-GB"/>
              </w:rPr>
              <w:t>ofyn am</w:t>
            </w:r>
            <w:r w:rsidRPr="00F26CFB">
              <w:rPr>
                <w:lang w:val="cy-GB"/>
              </w:rPr>
              <w:t xml:space="preserve"> ad-daliad, </w:t>
            </w:r>
            <w:r>
              <w:rPr>
                <w:lang w:val="cy-GB"/>
              </w:rPr>
              <w:t>newidiad</w:t>
            </w:r>
            <w:r w:rsidRPr="00F26CFB">
              <w:rPr>
                <w:lang w:val="cy-GB"/>
              </w:rPr>
              <w:t>, atgyweiri</w:t>
            </w:r>
            <w:r>
              <w:rPr>
                <w:lang w:val="cy-GB"/>
              </w:rPr>
              <w:t>ant</w:t>
            </w:r>
            <w:r w:rsidRPr="00F26CFB">
              <w:rPr>
                <w:lang w:val="cy-GB"/>
              </w:rPr>
              <w:t xml:space="preserve"> a/neu iawndal lle mae'r nwyddau yn ddiffygiol neu wedi cael eu camddehongli.</w:t>
            </w:r>
          </w:p>
          <w:p w14:paraId="5FE53CF3" w14:textId="77777777" w:rsidR="00F26CFB" w:rsidRPr="00F26CFB" w:rsidRDefault="00F26CFB" w:rsidP="00F26CFB">
            <w:pPr>
              <w:rPr>
                <w:lang w:val="cy-GB"/>
              </w:rPr>
            </w:pPr>
          </w:p>
          <w:p w14:paraId="78602B03" w14:textId="4C6F9ADD" w:rsidR="00F26CFB" w:rsidRPr="00F26CFB" w:rsidRDefault="00F26CFB" w:rsidP="00F26CFB">
            <w:pPr>
              <w:rPr>
                <w:lang w:val="cy-GB"/>
              </w:rPr>
            </w:pPr>
            <w:r w:rsidRPr="00F26CFB">
              <w:rPr>
                <w:lang w:val="cy-GB"/>
              </w:rPr>
              <w:t xml:space="preserve">Yn </w:t>
            </w:r>
            <w:r>
              <w:rPr>
                <w:lang w:val="cy-GB"/>
              </w:rPr>
              <w:t>ogystal â’</w:t>
            </w:r>
            <w:r w:rsidRPr="00F26CFB">
              <w:rPr>
                <w:lang w:val="cy-GB"/>
              </w:rPr>
              <w:t>ch hawliau cyfreithiol, byddwn yn disodli neu ad-dalu eitem nad yw'n</w:t>
            </w:r>
            <w:r>
              <w:rPr>
                <w:lang w:val="cy-GB"/>
              </w:rPr>
              <w:t xml:space="preserve"> ymddangos </w:t>
            </w:r>
            <w:r w:rsidRPr="00F26CFB">
              <w:rPr>
                <w:lang w:val="cy-GB"/>
              </w:rPr>
              <w:t xml:space="preserve">neu ei ddarganfod yn ddiffygiol (ar gyfer nwyddau </w:t>
            </w:r>
            <w:r>
              <w:rPr>
                <w:lang w:val="cy-GB"/>
              </w:rPr>
              <w:t>darfodus,</w:t>
            </w:r>
            <w:r w:rsidRPr="00F26CFB">
              <w:rPr>
                <w:lang w:val="cy-GB"/>
              </w:rPr>
              <w:t xml:space="preserve"> mae hyn o fewn </w:t>
            </w:r>
            <w:r>
              <w:rPr>
                <w:lang w:val="cy-GB"/>
              </w:rPr>
              <w:t xml:space="preserve">y </w:t>
            </w:r>
            <w:r w:rsidRPr="00F26CFB">
              <w:rPr>
                <w:lang w:val="cy-GB"/>
              </w:rPr>
              <w:t>dyddiad</w:t>
            </w:r>
            <w:r>
              <w:rPr>
                <w:lang w:val="cy-GB"/>
              </w:rPr>
              <w:t xml:space="preserve"> defnyddio</w:t>
            </w:r>
            <w:r w:rsidRPr="00F26CFB">
              <w:rPr>
                <w:lang w:val="cy-GB"/>
              </w:rPr>
              <w:t>) os caiff ei ddychwelyd o fewn 100 diwrnod o</w:t>
            </w:r>
            <w:r>
              <w:rPr>
                <w:lang w:val="cy-GB"/>
              </w:rPr>
              <w:t>’i</w:t>
            </w:r>
            <w:r w:rsidRPr="00F26CFB">
              <w:rPr>
                <w:lang w:val="cy-GB"/>
              </w:rPr>
              <w:t xml:space="preserve"> bryn</w:t>
            </w:r>
            <w:r>
              <w:rPr>
                <w:lang w:val="cy-GB"/>
              </w:rPr>
              <w:t>u</w:t>
            </w:r>
            <w:r w:rsidRPr="00F26CFB">
              <w:rPr>
                <w:lang w:val="cy-GB"/>
              </w:rPr>
              <w:t>.</w:t>
            </w:r>
          </w:p>
          <w:p w14:paraId="1C5F1225" w14:textId="77777777" w:rsidR="00F26CFB" w:rsidRPr="00F26CFB" w:rsidRDefault="00F26CFB" w:rsidP="00F26CFB">
            <w:pPr>
              <w:rPr>
                <w:lang w:val="cy-GB"/>
              </w:rPr>
            </w:pPr>
          </w:p>
          <w:p w14:paraId="0647D941" w14:textId="0C4BCDC6" w:rsidR="00F26CFB" w:rsidRPr="00F26CFB" w:rsidRDefault="00F26CFB" w:rsidP="00F26CFB">
            <w:pPr>
              <w:rPr>
                <w:lang w:val="cy-GB"/>
              </w:rPr>
            </w:pPr>
            <w:r w:rsidRPr="00F26CFB">
              <w:rPr>
                <w:lang w:val="cy-GB"/>
              </w:rPr>
              <w:t xml:space="preserve">Os byddwch chi'n newid eich meddwl am </w:t>
            </w:r>
            <w:r>
              <w:rPr>
                <w:lang w:val="cy-GB"/>
              </w:rPr>
              <w:t>y p</w:t>
            </w:r>
            <w:r w:rsidRPr="00F26CFB">
              <w:rPr>
                <w:lang w:val="cy-GB"/>
              </w:rPr>
              <w:t xml:space="preserve">ryniant, byddwn yn cynnig </w:t>
            </w:r>
            <w:r>
              <w:rPr>
                <w:lang w:val="cy-GB"/>
              </w:rPr>
              <w:t xml:space="preserve">newid neu </w:t>
            </w:r>
            <w:r w:rsidRPr="00F26CFB">
              <w:rPr>
                <w:lang w:val="cy-GB"/>
              </w:rPr>
              <w:t xml:space="preserve">ad-daliad llawn o fewn 14 diwrnod, cyn belled â bod yr eitem(au) yn cael ei ddychwelyd heb ei ddefnyddio, gyda phrawf </w:t>
            </w:r>
            <w:r>
              <w:rPr>
                <w:lang w:val="cy-GB"/>
              </w:rPr>
              <w:t>p</w:t>
            </w:r>
            <w:r w:rsidRPr="00F26CFB">
              <w:rPr>
                <w:lang w:val="cy-GB"/>
              </w:rPr>
              <w:t>rynu ac yn ei becyn gwreiddiol (</w:t>
            </w:r>
            <w:r>
              <w:rPr>
                <w:lang w:val="cy-GB"/>
              </w:rPr>
              <w:t>n</w:t>
            </w:r>
            <w:r w:rsidRPr="00F26CFB">
              <w:rPr>
                <w:lang w:val="cy-GB"/>
              </w:rPr>
              <w:t xml:space="preserve">id yw hyn yn berthnasol </w:t>
            </w:r>
            <w:r>
              <w:rPr>
                <w:lang w:val="cy-GB"/>
              </w:rPr>
              <w:t>ar gyfer gwerthiannau</w:t>
            </w:r>
            <w:r w:rsidRPr="00F26CFB">
              <w:rPr>
                <w:lang w:val="cy-GB"/>
              </w:rPr>
              <w:t xml:space="preserve"> tocynnau digwyddiad</w:t>
            </w:r>
            <w:r>
              <w:rPr>
                <w:lang w:val="cy-GB"/>
              </w:rPr>
              <w:t>au</w:t>
            </w:r>
            <w:r w:rsidRPr="00F26CFB">
              <w:rPr>
                <w:lang w:val="cy-GB"/>
              </w:rPr>
              <w:t>, tocynnau diodydd, teithiau dydd/penwythnos a phob gwasanaeth</w:t>
            </w:r>
            <w:r>
              <w:rPr>
                <w:lang w:val="cy-GB"/>
              </w:rPr>
              <w:t xml:space="preserve"> arall y</w:t>
            </w:r>
            <w:r w:rsidRPr="00F26CFB">
              <w:rPr>
                <w:lang w:val="cy-GB"/>
              </w:rPr>
              <w:t xml:space="preserve"> Siop </w:t>
            </w:r>
            <w:r>
              <w:rPr>
                <w:lang w:val="cy-GB"/>
              </w:rPr>
              <w:t>D</w:t>
            </w:r>
            <w:r w:rsidRPr="00F26CFB">
              <w:rPr>
                <w:lang w:val="cy-GB"/>
              </w:rPr>
              <w:t>eithio)</w:t>
            </w:r>
            <w:r>
              <w:rPr>
                <w:lang w:val="cy-GB"/>
              </w:rPr>
              <w:t>.</w:t>
            </w:r>
          </w:p>
          <w:p w14:paraId="0D6654DA" w14:textId="77777777" w:rsidR="00F26CFB" w:rsidRPr="00F26CFB" w:rsidRDefault="00F26CFB" w:rsidP="00F26CFB">
            <w:pPr>
              <w:rPr>
                <w:lang w:val="cy-GB"/>
              </w:rPr>
            </w:pPr>
          </w:p>
          <w:p w14:paraId="404AFFFB" w14:textId="7223E7A5" w:rsidR="00273219" w:rsidRPr="00B27530" w:rsidRDefault="00F26CFB" w:rsidP="00273219">
            <w:pPr>
              <w:rPr>
                <w:lang w:val="cy-GB"/>
              </w:rPr>
            </w:pPr>
            <w:r w:rsidRPr="00F26CFB">
              <w:rPr>
                <w:lang w:val="cy-GB"/>
              </w:rPr>
              <w:t>Gellir dod o hyd i ragor o wybodaeth am ein Polisi Ad-daliadau a Dychwelyd ar ein gwefan</w:t>
            </w:r>
            <w:r>
              <w:rPr>
                <w:lang w:val="cy-GB"/>
              </w:rPr>
              <w:t>.</w:t>
            </w:r>
          </w:p>
        </w:tc>
      </w:tr>
    </w:tbl>
    <w:p w14:paraId="41125192" w14:textId="77777777" w:rsidR="000057B2" w:rsidRPr="00B27530" w:rsidRDefault="000057B2" w:rsidP="00780A10">
      <w:pPr>
        <w:rPr>
          <w:lang w:val="cy-GB"/>
        </w:rPr>
      </w:pPr>
    </w:p>
    <w:sectPr w:rsidR="000057B2" w:rsidRPr="00B27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37C2"/>
    <w:multiLevelType w:val="hybridMultilevel"/>
    <w:tmpl w:val="D39A43B8"/>
    <w:lvl w:ilvl="0" w:tplc="5248E6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A220D"/>
    <w:multiLevelType w:val="hybridMultilevel"/>
    <w:tmpl w:val="B5588EDE"/>
    <w:lvl w:ilvl="0" w:tplc="A900D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67139"/>
    <w:multiLevelType w:val="hybridMultilevel"/>
    <w:tmpl w:val="894494CA"/>
    <w:lvl w:ilvl="0" w:tplc="4A3429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B5726"/>
    <w:multiLevelType w:val="hybridMultilevel"/>
    <w:tmpl w:val="AE58FFEA"/>
    <w:lvl w:ilvl="0" w:tplc="AEC085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D3AE5"/>
    <w:multiLevelType w:val="hybridMultilevel"/>
    <w:tmpl w:val="3C224C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27960"/>
    <w:multiLevelType w:val="hybridMultilevel"/>
    <w:tmpl w:val="B35EAF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255C9"/>
    <w:multiLevelType w:val="multilevel"/>
    <w:tmpl w:val="9ACC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5E5D7E"/>
    <w:multiLevelType w:val="hybridMultilevel"/>
    <w:tmpl w:val="69AEC102"/>
    <w:lvl w:ilvl="0" w:tplc="FD205B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03E86"/>
    <w:multiLevelType w:val="hybridMultilevel"/>
    <w:tmpl w:val="B3ECE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9362C"/>
    <w:multiLevelType w:val="hybridMultilevel"/>
    <w:tmpl w:val="EED05EE8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41065"/>
    <w:multiLevelType w:val="hybridMultilevel"/>
    <w:tmpl w:val="E2DA72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C2509"/>
    <w:multiLevelType w:val="hybridMultilevel"/>
    <w:tmpl w:val="54C6AC20"/>
    <w:lvl w:ilvl="0" w:tplc="983499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36574"/>
    <w:multiLevelType w:val="hybridMultilevel"/>
    <w:tmpl w:val="D7B4B3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9122D9"/>
    <w:multiLevelType w:val="hybridMultilevel"/>
    <w:tmpl w:val="7B0C1CB8"/>
    <w:lvl w:ilvl="0" w:tplc="A6DCFA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B3E23"/>
    <w:multiLevelType w:val="hybridMultilevel"/>
    <w:tmpl w:val="0F34A822"/>
    <w:lvl w:ilvl="0" w:tplc="C8BA13EE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44D37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E8152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883F5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E6D9F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0896F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32A9E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C2135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B2171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8DD38E5"/>
    <w:multiLevelType w:val="hybridMultilevel"/>
    <w:tmpl w:val="5F60689C"/>
    <w:lvl w:ilvl="0" w:tplc="F418BE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E6A26"/>
    <w:multiLevelType w:val="hybridMultilevel"/>
    <w:tmpl w:val="A5880326"/>
    <w:lvl w:ilvl="0" w:tplc="874E42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F0DE5"/>
    <w:multiLevelType w:val="hybridMultilevel"/>
    <w:tmpl w:val="160C19B2"/>
    <w:lvl w:ilvl="0" w:tplc="F60262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B15EF"/>
    <w:multiLevelType w:val="hybridMultilevel"/>
    <w:tmpl w:val="27BCB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B0ABE"/>
    <w:multiLevelType w:val="hybridMultilevel"/>
    <w:tmpl w:val="95986474"/>
    <w:lvl w:ilvl="0" w:tplc="06DEC37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D2754"/>
    <w:multiLevelType w:val="hybridMultilevel"/>
    <w:tmpl w:val="DD98B2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0"/>
  </w:num>
  <w:num w:numId="4">
    <w:abstractNumId w:val="7"/>
  </w:num>
  <w:num w:numId="5">
    <w:abstractNumId w:val="10"/>
  </w:num>
  <w:num w:numId="6">
    <w:abstractNumId w:val="5"/>
  </w:num>
  <w:num w:numId="7">
    <w:abstractNumId w:val="6"/>
  </w:num>
  <w:num w:numId="8">
    <w:abstractNumId w:val="4"/>
  </w:num>
  <w:num w:numId="9">
    <w:abstractNumId w:val="15"/>
  </w:num>
  <w:num w:numId="10">
    <w:abstractNumId w:val="8"/>
  </w:num>
  <w:num w:numId="11">
    <w:abstractNumId w:val="2"/>
  </w:num>
  <w:num w:numId="12">
    <w:abstractNumId w:val="18"/>
  </w:num>
  <w:num w:numId="13">
    <w:abstractNumId w:val="11"/>
  </w:num>
  <w:num w:numId="14">
    <w:abstractNumId w:val="1"/>
  </w:num>
  <w:num w:numId="15">
    <w:abstractNumId w:val="0"/>
  </w:num>
  <w:num w:numId="16">
    <w:abstractNumId w:val="17"/>
  </w:num>
  <w:num w:numId="17">
    <w:abstractNumId w:val="3"/>
  </w:num>
  <w:num w:numId="18">
    <w:abstractNumId w:val="14"/>
  </w:num>
  <w:num w:numId="19">
    <w:abstractNumId w:val="19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AF"/>
    <w:rsid w:val="000057B2"/>
    <w:rsid w:val="00043D37"/>
    <w:rsid w:val="000A5866"/>
    <w:rsid w:val="00126F87"/>
    <w:rsid w:val="00134491"/>
    <w:rsid w:val="00153E18"/>
    <w:rsid w:val="00171C67"/>
    <w:rsid w:val="001855A8"/>
    <w:rsid w:val="001B2B1B"/>
    <w:rsid w:val="002019CE"/>
    <w:rsid w:val="0021652A"/>
    <w:rsid w:val="00263FDA"/>
    <w:rsid w:val="00273219"/>
    <w:rsid w:val="002B63E5"/>
    <w:rsid w:val="002B783F"/>
    <w:rsid w:val="002D0F88"/>
    <w:rsid w:val="002E4226"/>
    <w:rsid w:val="00346A7B"/>
    <w:rsid w:val="003C0BB0"/>
    <w:rsid w:val="003E57F0"/>
    <w:rsid w:val="003F1AA8"/>
    <w:rsid w:val="00413577"/>
    <w:rsid w:val="004566EE"/>
    <w:rsid w:val="00470765"/>
    <w:rsid w:val="0049490E"/>
    <w:rsid w:val="00495165"/>
    <w:rsid w:val="004A2C1B"/>
    <w:rsid w:val="004D3C26"/>
    <w:rsid w:val="005041EB"/>
    <w:rsid w:val="0050796D"/>
    <w:rsid w:val="00525AFC"/>
    <w:rsid w:val="00531BF6"/>
    <w:rsid w:val="005514D7"/>
    <w:rsid w:val="005869A4"/>
    <w:rsid w:val="005B6D40"/>
    <w:rsid w:val="00616E50"/>
    <w:rsid w:val="00666764"/>
    <w:rsid w:val="006706B3"/>
    <w:rsid w:val="00690E64"/>
    <w:rsid w:val="006B378C"/>
    <w:rsid w:val="006F5B0C"/>
    <w:rsid w:val="00762EEF"/>
    <w:rsid w:val="00780A10"/>
    <w:rsid w:val="00781D21"/>
    <w:rsid w:val="007829A0"/>
    <w:rsid w:val="00795CEB"/>
    <w:rsid w:val="007C47CE"/>
    <w:rsid w:val="007E57AA"/>
    <w:rsid w:val="008134E3"/>
    <w:rsid w:val="00816B45"/>
    <w:rsid w:val="00847694"/>
    <w:rsid w:val="0087027B"/>
    <w:rsid w:val="00880453"/>
    <w:rsid w:val="0088522E"/>
    <w:rsid w:val="008D1C6F"/>
    <w:rsid w:val="008E0F3C"/>
    <w:rsid w:val="009105DD"/>
    <w:rsid w:val="009434D6"/>
    <w:rsid w:val="00965707"/>
    <w:rsid w:val="009A1F58"/>
    <w:rsid w:val="009F431C"/>
    <w:rsid w:val="00A16763"/>
    <w:rsid w:val="00A17F6A"/>
    <w:rsid w:val="00A21329"/>
    <w:rsid w:val="00A5723E"/>
    <w:rsid w:val="00A91CAD"/>
    <w:rsid w:val="00AB410A"/>
    <w:rsid w:val="00AC335C"/>
    <w:rsid w:val="00AE54CD"/>
    <w:rsid w:val="00AF6470"/>
    <w:rsid w:val="00B27530"/>
    <w:rsid w:val="00B5604C"/>
    <w:rsid w:val="00B61ACA"/>
    <w:rsid w:val="00BB21DC"/>
    <w:rsid w:val="00BF4B31"/>
    <w:rsid w:val="00BF79D1"/>
    <w:rsid w:val="00C23B62"/>
    <w:rsid w:val="00C96C71"/>
    <w:rsid w:val="00CD4E0D"/>
    <w:rsid w:val="00CF02AF"/>
    <w:rsid w:val="00CF25E6"/>
    <w:rsid w:val="00CF27DE"/>
    <w:rsid w:val="00D27851"/>
    <w:rsid w:val="00D87D27"/>
    <w:rsid w:val="00DD0152"/>
    <w:rsid w:val="00E54795"/>
    <w:rsid w:val="00E8177C"/>
    <w:rsid w:val="00E81C79"/>
    <w:rsid w:val="00E8285D"/>
    <w:rsid w:val="00E85BDC"/>
    <w:rsid w:val="00EB404D"/>
    <w:rsid w:val="00F04009"/>
    <w:rsid w:val="00F26CFB"/>
    <w:rsid w:val="00F27CAC"/>
    <w:rsid w:val="00F577F8"/>
    <w:rsid w:val="00F75AB1"/>
    <w:rsid w:val="00F80E71"/>
    <w:rsid w:val="00F813B5"/>
    <w:rsid w:val="00F81C28"/>
    <w:rsid w:val="00F8552A"/>
    <w:rsid w:val="00FA6F38"/>
    <w:rsid w:val="00FB0412"/>
    <w:rsid w:val="00FB1FD3"/>
    <w:rsid w:val="00FD63E5"/>
    <w:rsid w:val="00FD7919"/>
    <w:rsid w:val="00FE042C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DB388"/>
  <w15:chartTrackingRefBased/>
  <w15:docId w15:val="{C53E978E-DDB7-4275-A78D-9A673A32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B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link w:val="Heading6Char"/>
    <w:uiPriority w:val="9"/>
    <w:qFormat/>
    <w:rsid w:val="00616E5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2AF"/>
    <w:pPr>
      <w:ind w:left="720"/>
      <w:contextualSpacing/>
    </w:pPr>
  </w:style>
  <w:style w:type="table" w:styleId="TableGrid">
    <w:name w:val="Table Grid"/>
    <w:basedOn w:val="TableNormal"/>
    <w:uiPriority w:val="39"/>
    <w:rsid w:val="00470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C3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C335C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616E50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table" w:styleId="LightList-Accent1">
    <w:name w:val="Light List Accent 1"/>
    <w:basedOn w:val="TableNormal"/>
    <w:uiPriority w:val="61"/>
    <w:rsid w:val="005041E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85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52A"/>
    <w:pPr>
      <w:spacing w:after="257" w:line="240" w:lineRule="auto"/>
      <w:ind w:left="10" w:hanging="10"/>
      <w:jc w:val="both"/>
    </w:pPr>
    <w:rPr>
      <w:rFonts w:ascii="Calibri" w:eastAsia="Calibri" w:hAnsi="Calibri" w:cs="Calibri"/>
      <w:color w:val="00000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52A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52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B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FD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B1FD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267500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3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0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7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3B483-CE49-40AC-851A-B5AEE392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 Caldwell</cp:lastModifiedBy>
  <cp:revision>2</cp:revision>
  <cp:lastPrinted>2019-02-20T16:11:00Z</cp:lastPrinted>
  <dcterms:created xsi:type="dcterms:W3CDTF">2019-02-26T08:43:00Z</dcterms:created>
  <dcterms:modified xsi:type="dcterms:W3CDTF">2019-02-26T08:43:00Z</dcterms:modified>
</cp:coreProperties>
</file>